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0E97" w:rsidRDefault="00E628C2">
      <w:pPr>
        <w:ind w:left="1" w:hanging="3"/>
        <w:jc w:val="center"/>
        <w:rPr>
          <w:rFonts w:ascii="Garamond" w:eastAsia="Garamond" w:hAnsi="Garamond" w:cs="Garamond"/>
          <w:color w:val="000000"/>
          <w:sz w:val="28"/>
          <w:szCs w:val="28"/>
        </w:rPr>
      </w:pPr>
      <w:r>
        <w:rPr>
          <w:rFonts w:ascii="Garamond" w:eastAsia="Garamond" w:hAnsi="Garamond" w:cs="Garamond"/>
          <w:b/>
          <w:color w:val="000000"/>
          <w:sz w:val="28"/>
          <w:szCs w:val="28"/>
        </w:rPr>
        <w:t>Cleaning your pet’s eyes</w:t>
      </w:r>
    </w:p>
    <w:p w:rsidR="002A0E97" w:rsidRDefault="00E628C2">
      <w:pPr>
        <w:ind w:left="0" w:hanging="2"/>
        <w:rPr>
          <w:rFonts w:ascii="Garamond" w:eastAsia="Garamond" w:hAnsi="Garamond" w:cs="Garamond"/>
          <w:color w:val="000000"/>
        </w:rPr>
      </w:pPr>
      <w:r>
        <w:rPr>
          <w:rFonts w:ascii="Garamond" w:eastAsia="Garamond" w:hAnsi="Garamond" w:cs="Garamond"/>
          <w:color w:val="000000"/>
        </w:rPr>
        <w:t>It is important to keep the area around your pet’s eyes clean and mostly dry to avoid the accumulation of discharge or matting that may lead to build up of bacterial contamination. There are many ways to keep your pet’s eyes clean on a daily basis, or when</w:t>
      </w:r>
      <w:r>
        <w:rPr>
          <w:rFonts w:ascii="Garamond" w:eastAsia="Garamond" w:hAnsi="Garamond" w:cs="Garamond"/>
          <w:color w:val="000000"/>
        </w:rPr>
        <w:t xml:space="preserve"> healing from surgery. Most </w:t>
      </w:r>
      <w:r>
        <w:rPr>
          <w:rFonts w:ascii="Garamond" w:eastAsia="Garamond" w:hAnsi="Garamond" w:cs="Garamond"/>
        </w:rPr>
        <w:t>animals</w:t>
      </w:r>
      <w:r>
        <w:rPr>
          <w:rFonts w:ascii="Garamond" w:eastAsia="Garamond" w:hAnsi="Garamond" w:cs="Garamond"/>
          <w:color w:val="000000"/>
        </w:rPr>
        <w:t xml:space="preserve"> will enjoy having the area around their eyes kept clean, but one should always be cautious when first attempting to manipulate an animal, especially if soreness may be present or the animal is shy about their face being </w:t>
      </w:r>
      <w:r>
        <w:rPr>
          <w:rFonts w:ascii="Garamond" w:eastAsia="Garamond" w:hAnsi="Garamond" w:cs="Garamond"/>
          <w:color w:val="000000"/>
        </w:rPr>
        <w:t>touched. Here are some approaches and products that may help your pet’s needs:</w:t>
      </w:r>
    </w:p>
    <w:p w:rsidR="002A0E97" w:rsidRDefault="00E628C2">
      <w:pPr>
        <w:numPr>
          <w:ilvl w:val="0"/>
          <w:numId w:val="1"/>
        </w:numPr>
        <w:ind w:left="0" w:hanging="2"/>
        <w:rPr>
          <w:rFonts w:ascii="Garamond" w:eastAsia="Garamond" w:hAnsi="Garamond" w:cs="Garamond"/>
          <w:color w:val="000000"/>
        </w:rPr>
      </w:pPr>
      <w:r>
        <w:rPr>
          <w:rFonts w:ascii="Garamond" w:eastAsia="Garamond" w:hAnsi="Garamond" w:cs="Garamond"/>
          <w:color w:val="000000"/>
        </w:rPr>
        <w:t>WARM WET COMPRESS: You can apply a clean, warm, wet washcloth, paper towel or gauze pad to the eye for 5 to 15 minutes, 2 to 4 times daily. The wetness will help to soften crust</w:t>
      </w:r>
      <w:r>
        <w:rPr>
          <w:rFonts w:ascii="Garamond" w:eastAsia="Garamond" w:hAnsi="Garamond" w:cs="Garamond"/>
          <w:color w:val="000000"/>
        </w:rPr>
        <w:t>ing that will become less adherent and allow you to slowly remove debris from the area. This form of compress is also helpful to soothe spasming, relax muscles and bring healthy blood supply to the area.</w:t>
      </w:r>
    </w:p>
    <w:p w:rsidR="002A0E97" w:rsidRDefault="00E628C2">
      <w:pPr>
        <w:numPr>
          <w:ilvl w:val="0"/>
          <w:numId w:val="1"/>
        </w:numPr>
        <w:ind w:left="0" w:hanging="2"/>
        <w:rPr>
          <w:rFonts w:ascii="Garamond" w:eastAsia="Garamond" w:hAnsi="Garamond" w:cs="Garamond"/>
          <w:color w:val="000000"/>
        </w:rPr>
      </w:pPr>
      <w:r>
        <w:rPr>
          <w:rFonts w:ascii="Garamond" w:eastAsia="Garamond" w:hAnsi="Garamond" w:cs="Garamond"/>
          <w:color w:val="000000"/>
        </w:rPr>
        <w:t>STERILE SALINE EYE WASH: There are many “eye wash” o</w:t>
      </w:r>
      <w:r>
        <w:rPr>
          <w:rFonts w:ascii="Garamond" w:eastAsia="Garamond" w:hAnsi="Garamond" w:cs="Garamond"/>
          <w:color w:val="000000"/>
        </w:rPr>
        <w:t xml:space="preserve">r “eye rinsing </w:t>
      </w:r>
      <w:r>
        <w:rPr>
          <w:rFonts w:ascii="Garamond" w:eastAsia="Garamond" w:hAnsi="Garamond" w:cs="Garamond"/>
        </w:rPr>
        <w:t>solutions</w:t>
      </w:r>
      <w:r>
        <w:rPr>
          <w:rFonts w:ascii="Garamond" w:eastAsia="Garamond" w:hAnsi="Garamond" w:cs="Garamond"/>
          <w:color w:val="000000"/>
        </w:rPr>
        <w:t xml:space="preserve">” available over the counter at any pharmacy. You can use this to rinse your pet’s eyes copiously while holding the eyelids open to flush out discharge from the surface of the eye. If your pet’s eyes produce and </w:t>
      </w:r>
      <w:r>
        <w:rPr>
          <w:rFonts w:ascii="Garamond" w:eastAsia="Garamond" w:hAnsi="Garamond" w:cs="Garamond"/>
        </w:rPr>
        <w:t>accumulate</w:t>
      </w:r>
      <w:r>
        <w:rPr>
          <w:rFonts w:ascii="Garamond" w:eastAsia="Garamond" w:hAnsi="Garamond" w:cs="Garamond"/>
          <w:color w:val="000000"/>
        </w:rPr>
        <w:t xml:space="preserve"> discharge</w:t>
      </w:r>
      <w:r>
        <w:rPr>
          <w:rFonts w:ascii="Garamond" w:eastAsia="Garamond" w:hAnsi="Garamond" w:cs="Garamond"/>
          <w:color w:val="000000"/>
        </w:rPr>
        <w:t>, it is recommended to do so at least 10 min prior to application of any medications. *Caution: DO NOT use contact lens products on your pet!*</w:t>
      </w:r>
    </w:p>
    <w:p w:rsidR="002A0E97" w:rsidRDefault="00E628C2">
      <w:pPr>
        <w:numPr>
          <w:ilvl w:val="0"/>
          <w:numId w:val="1"/>
        </w:numPr>
        <w:ind w:left="0" w:hanging="2"/>
        <w:rPr>
          <w:rFonts w:ascii="Garamond" w:eastAsia="Garamond" w:hAnsi="Garamond" w:cs="Garamond"/>
          <w:color w:val="000000"/>
        </w:rPr>
      </w:pPr>
      <w:r>
        <w:rPr>
          <w:rFonts w:ascii="Garamond" w:eastAsia="Garamond" w:hAnsi="Garamond" w:cs="Garamond"/>
          <w:color w:val="000000"/>
        </w:rPr>
        <w:t xml:space="preserve">OPTIXCARE WIPES or LID N’LASH WIPES: These are commercially available veterinary ophthalmic cleansing wipes that </w:t>
      </w:r>
      <w:r>
        <w:rPr>
          <w:rFonts w:ascii="Garamond" w:eastAsia="Garamond" w:hAnsi="Garamond" w:cs="Garamond"/>
          <w:color w:val="000000"/>
        </w:rPr>
        <w:t>can be purchased at your veterinary ophthalmologist, primary care veterinarian or through other retailers and online. These wipes will help dissolve debris and will not harm your pet’s eyes if contact is made. These wipes are also helpful to clean facial s</w:t>
      </w:r>
      <w:r>
        <w:rPr>
          <w:rFonts w:ascii="Garamond" w:eastAsia="Garamond" w:hAnsi="Garamond" w:cs="Garamond"/>
          <w:color w:val="000000"/>
        </w:rPr>
        <w:t>kin folds that are typical of certain breeds.</w:t>
      </w:r>
    </w:p>
    <w:p w:rsidR="002A0E97" w:rsidRDefault="00E628C2">
      <w:pPr>
        <w:numPr>
          <w:ilvl w:val="0"/>
          <w:numId w:val="1"/>
        </w:numPr>
        <w:ind w:left="0" w:hanging="2"/>
        <w:rPr>
          <w:rFonts w:ascii="Garamond" w:eastAsia="Garamond" w:hAnsi="Garamond" w:cs="Garamond"/>
          <w:color w:val="000000"/>
        </w:rPr>
      </w:pPr>
      <w:r>
        <w:rPr>
          <w:rFonts w:ascii="Garamond" w:eastAsia="Garamond" w:hAnsi="Garamond" w:cs="Garamond"/>
          <w:color w:val="000000"/>
        </w:rPr>
        <w:t>LID N’LASH GEL: This is a commercially available veterinary ophthalmic cleansing gel that can be purchased similarly to the wipes mentioned above. This gel can be applied to a gauze pad or cotton ball or direct</w:t>
      </w:r>
      <w:r>
        <w:rPr>
          <w:rFonts w:ascii="Garamond" w:eastAsia="Garamond" w:hAnsi="Garamond" w:cs="Garamond"/>
          <w:color w:val="000000"/>
        </w:rPr>
        <w:t>ly to the fur around the eye. The gel cleanser allows you to control the amount of product that is applied and to saturate heavily crusted areas to improve penetration. Like the wipes, the gel will not harm your pet’s eyes if contact is made.</w:t>
      </w:r>
    </w:p>
    <w:p w:rsidR="002A0E97" w:rsidRDefault="00E628C2">
      <w:pPr>
        <w:ind w:left="0" w:hanging="2"/>
        <w:rPr>
          <w:rFonts w:ascii="Garamond" w:eastAsia="Garamond" w:hAnsi="Garamond" w:cs="Garamond"/>
          <w:color w:val="000000"/>
        </w:rPr>
      </w:pPr>
      <w:r>
        <w:rPr>
          <w:rFonts w:ascii="Garamond" w:eastAsia="Garamond" w:hAnsi="Garamond" w:cs="Garamond"/>
          <w:color w:val="000000"/>
        </w:rPr>
        <w:t>No matter whi</w:t>
      </w:r>
      <w:r>
        <w:rPr>
          <w:rFonts w:ascii="Garamond" w:eastAsia="Garamond" w:hAnsi="Garamond" w:cs="Garamond"/>
          <w:color w:val="000000"/>
        </w:rPr>
        <w:t>ch method or product you choose, the key is to apply the cleanser or compress and wait patiently before attempting to remove discharge/debris. Remember to make this into a routine practice for your pet as often as their need for cleaning is and reinforce t</w:t>
      </w:r>
      <w:r>
        <w:rPr>
          <w:rFonts w:ascii="Garamond" w:eastAsia="Garamond" w:hAnsi="Garamond" w:cs="Garamond"/>
          <w:color w:val="000000"/>
        </w:rPr>
        <w:t xml:space="preserve">he activity with a treat, gentle </w:t>
      </w:r>
      <w:proofErr w:type="spellStart"/>
      <w:r>
        <w:rPr>
          <w:rFonts w:ascii="Garamond" w:eastAsia="Garamond" w:hAnsi="Garamond" w:cs="Garamond"/>
          <w:color w:val="000000"/>
        </w:rPr>
        <w:t>behavior</w:t>
      </w:r>
      <w:proofErr w:type="spellEnd"/>
      <w:r>
        <w:rPr>
          <w:rFonts w:ascii="Garamond" w:eastAsia="Garamond" w:hAnsi="Garamond" w:cs="Garamond"/>
          <w:color w:val="000000"/>
        </w:rPr>
        <w:t xml:space="preserve"> and positive language!</w:t>
      </w:r>
    </w:p>
    <w:sectPr w:rsidR="002A0E97">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0" w:footer="43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628C2" w:rsidRDefault="00E628C2">
      <w:pPr>
        <w:spacing w:after="0" w:line="240" w:lineRule="auto"/>
        <w:ind w:left="0" w:hanging="2"/>
      </w:pPr>
      <w:r>
        <w:separator/>
      </w:r>
    </w:p>
  </w:endnote>
  <w:endnote w:type="continuationSeparator" w:id="0">
    <w:p w:rsidR="00E628C2" w:rsidRDefault="00E628C2">
      <w:pPr>
        <w:spacing w:after="0"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0E97" w:rsidRDefault="00E628C2">
    <w:pPr>
      <w:pBdr>
        <w:top w:val="nil"/>
        <w:left w:val="nil"/>
        <w:bottom w:val="nil"/>
        <w:right w:val="nil"/>
        <w:between w:val="nil"/>
      </w:pBdr>
      <w:spacing w:after="0" w:line="240" w:lineRule="auto"/>
      <w:ind w:left="0" w:hanging="2"/>
      <w:jc w:val="right"/>
      <w:rPr>
        <w:color w:val="000000"/>
      </w:rPr>
    </w:pPr>
    <w:r>
      <w:rPr>
        <w:color w:val="000000"/>
      </w:rPr>
      <w:fldChar w:fldCharType="begin"/>
    </w:r>
    <w:r>
      <w:rPr>
        <w:color w:val="000000"/>
      </w:rPr>
      <w:instrText>PAGE</w:instrText>
    </w:r>
    <w:r>
      <w:rPr>
        <w:color w:val="000000"/>
      </w:rPr>
      <w:fldChar w:fldCharType="end"/>
    </w:r>
  </w:p>
  <w:p w:rsidR="002A0E97" w:rsidRDefault="002A0E97">
    <w:pPr>
      <w:pBdr>
        <w:top w:val="nil"/>
        <w:left w:val="nil"/>
        <w:bottom w:val="nil"/>
        <w:right w:val="nil"/>
        <w:between w:val="nil"/>
      </w:pBdr>
      <w:spacing w:after="0" w:line="240" w:lineRule="auto"/>
      <w:ind w:left="0" w:right="360" w:hanging="2"/>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0E97" w:rsidRDefault="00E628C2">
    <w:pPr>
      <w:pBdr>
        <w:top w:val="nil"/>
        <w:left w:val="nil"/>
        <w:bottom w:val="nil"/>
        <w:right w:val="nil"/>
        <w:between w:val="nil"/>
      </w:pBdr>
      <w:spacing w:after="0" w:line="240" w:lineRule="auto"/>
      <w:ind w:left="0" w:hanging="2"/>
      <w:jc w:val="right"/>
      <w:rPr>
        <w:color w:val="000000"/>
      </w:rPr>
    </w:pPr>
    <w:r>
      <w:rPr>
        <w:color w:val="000000"/>
      </w:rPr>
      <w:fldChar w:fldCharType="begin"/>
    </w:r>
    <w:r>
      <w:rPr>
        <w:color w:val="000000"/>
      </w:rPr>
      <w:instrText>PAGE</w:instrText>
    </w:r>
    <w:r w:rsidR="00AC53E1">
      <w:rPr>
        <w:color w:val="000000"/>
      </w:rPr>
      <w:fldChar w:fldCharType="separate"/>
    </w:r>
    <w:r w:rsidR="00AC53E1">
      <w:rPr>
        <w:noProof/>
        <w:color w:val="000000"/>
      </w:rPr>
      <w:t>1</w:t>
    </w:r>
    <w:r>
      <w:rPr>
        <w:color w:val="000000"/>
      </w:rPr>
      <w:fldChar w:fldCharType="end"/>
    </w:r>
  </w:p>
  <w:p w:rsidR="002A0E97" w:rsidRDefault="002A0E97">
    <w:pPr>
      <w:pBdr>
        <w:top w:val="nil"/>
        <w:left w:val="nil"/>
        <w:bottom w:val="nil"/>
        <w:right w:val="nil"/>
        <w:between w:val="nil"/>
      </w:pBdr>
      <w:spacing w:after="0" w:line="240" w:lineRule="auto"/>
      <w:ind w:left="0" w:right="360" w:hanging="2"/>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0E97" w:rsidRDefault="002A0E97">
    <w:pPr>
      <w:pBdr>
        <w:top w:val="nil"/>
        <w:left w:val="nil"/>
        <w:bottom w:val="nil"/>
        <w:right w:val="nil"/>
        <w:between w:val="nil"/>
      </w:pBdr>
      <w:spacing w:after="0" w:line="240" w:lineRule="auto"/>
      <w:ind w:left="0" w:hanging="2"/>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628C2" w:rsidRDefault="00E628C2">
      <w:pPr>
        <w:spacing w:after="0" w:line="240" w:lineRule="auto"/>
        <w:ind w:left="0" w:hanging="2"/>
      </w:pPr>
      <w:r>
        <w:separator/>
      </w:r>
    </w:p>
  </w:footnote>
  <w:footnote w:type="continuationSeparator" w:id="0">
    <w:p w:rsidR="00E628C2" w:rsidRDefault="00E628C2">
      <w:pPr>
        <w:spacing w:after="0"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0E97" w:rsidRDefault="002A0E97">
    <w:pPr>
      <w:pBdr>
        <w:top w:val="nil"/>
        <w:left w:val="nil"/>
        <w:bottom w:val="nil"/>
        <w:right w:val="nil"/>
        <w:between w:val="nil"/>
      </w:pBdr>
      <w:spacing w:after="0" w:line="240" w:lineRule="auto"/>
      <w:ind w:left="0" w:hanging="2"/>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0E97" w:rsidRDefault="002A0E97">
    <w:pPr>
      <w:ind w:left="0" w:hanging="2"/>
    </w:pPr>
  </w:p>
  <w:tbl>
    <w:tblPr>
      <w:tblStyle w:val="a0"/>
      <w:tblW w:w="9242" w:type="dxa"/>
      <w:tblBorders>
        <w:top w:val="nil"/>
        <w:left w:val="nil"/>
        <w:bottom w:val="single" w:sz="12" w:space="0" w:color="000000"/>
        <w:right w:val="nil"/>
        <w:insideH w:val="nil"/>
        <w:insideV w:val="nil"/>
      </w:tblBorders>
      <w:tblLayout w:type="fixed"/>
      <w:tblLook w:val="0000" w:firstRow="0" w:lastRow="0" w:firstColumn="0" w:lastColumn="0" w:noHBand="0" w:noVBand="0"/>
    </w:tblPr>
    <w:tblGrid>
      <w:gridCol w:w="3155"/>
      <w:gridCol w:w="3088"/>
      <w:gridCol w:w="2999"/>
    </w:tblGrid>
    <w:tr w:rsidR="002A0E97">
      <w:tc>
        <w:tcPr>
          <w:tcW w:w="3155" w:type="dxa"/>
          <w:tcBorders>
            <w:top w:val="nil"/>
            <w:left w:val="nil"/>
            <w:bottom w:val="single" w:sz="12" w:space="0" w:color="000000"/>
            <w:right w:val="nil"/>
          </w:tcBorders>
          <w:vAlign w:val="center"/>
        </w:tcPr>
        <w:p w:rsidR="002A0E97" w:rsidRDefault="00E628C2">
          <w:pPr>
            <w:spacing w:after="0" w:line="240" w:lineRule="auto"/>
            <w:ind w:left="0" w:hanging="2"/>
            <w:rPr>
              <w:rFonts w:ascii="Garamond" w:eastAsia="Garamond" w:hAnsi="Garamond" w:cs="Garamond"/>
              <w:color w:val="541200"/>
            </w:rPr>
          </w:pPr>
          <w:r>
            <w:rPr>
              <w:rFonts w:ascii="Garamond" w:eastAsia="Garamond" w:hAnsi="Garamond" w:cs="Garamond"/>
              <w:color w:val="541200"/>
            </w:rPr>
            <w:t>9901 South U.S. Hwy 17-92</w:t>
          </w:r>
        </w:p>
        <w:p w:rsidR="002A0E97" w:rsidRDefault="00E628C2">
          <w:pPr>
            <w:spacing w:after="0" w:line="240" w:lineRule="auto"/>
            <w:ind w:left="0" w:hanging="2"/>
            <w:rPr>
              <w:rFonts w:ascii="Garamond" w:eastAsia="Garamond" w:hAnsi="Garamond" w:cs="Garamond"/>
              <w:color w:val="541200"/>
            </w:rPr>
          </w:pPr>
          <w:r>
            <w:rPr>
              <w:rFonts w:ascii="Garamond" w:eastAsia="Garamond" w:hAnsi="Garamond" w:cs="Garamond"/>
              <w:color w:val="541200"/>
            </w:rPr>
            <w:t>Maitland, FL 32751</w:t>
          </w:r>
        </w:p>
        <w:p w:rsidR="002A0E97" w:rsidRDefault="00E628C2">
          <w:pPr>
            <w:spacing w:after="0" w:line="240" w:lineRule="auto"/>
            <w:ind w:left="0" w:hanging="2"/>
            <w:rPr>
              <w:rFonts w:ascii="Garamond" w:eastAsia="Garamond" w:hAnsi="Garamond" w:cs="Garamond"/>
              <w:color w:val="541200"/>
            </w:rPr>
          </w:pPr>
          <w:r>
            <w:rPr>
              <w:rFonts w:ascii="Garamond" w:eastAsia="Garamond" w:hAnsi="Garamond" w:cs="Garamond"/>
              <w:color w:val="541200"/>
            </w:rPr>
            <w:t xml:space="preserve">407-629-0044 </w:t>
          </w:r>
          <w:r>
            <w:rPr>
              <w:rFonts w:ascii="Garamond" w:eastAsia="Garamond" w:hAnsi="Garamond" w:cs="Garamond"/>
              <w:i/>
              <w:color w:val="541200"/>
            </w:rPr>
            <w:t>Ext. 1</w:t>
          </w:r>
        </w:p>
        <w:p w:rsidR="002A0E97" w:rsidRDefault="00E628C2">
          <w:pPr>
            <w:spacing w:after="0" w:line="240" w:lineRule="auto"/>
            <w:ind w:left="0" w:hanging="2"/>
            <w:rPr>
              <w:rFonts w:ascii="Garamond" w:eastAsia="Garamond" w:hAnsi="Garamond" w:cs="Garamond"/>
              <w:color w:val="541200"/>
            </w:rPr>
          </w:pPr>
          <w:r>
            <w:rPr>
              <w:rFonts w:ascii="Garamond" w:eastAsia="Garamond" w:hAnsi="Garamond" w:cs="Garamond"/>
              <w:color w:val="541200"/>
            </w:rPr>
            <w:t xml:space="preserve">407-629-0602 </w:t>
          </w:r>
          <w:r>
            <w:rPr>
              <w:rFonts w:ascii="Garamond" w:eastAsia="Garamond" w:hAnsi="Garamond" w:cs="Garamond"/>
              <w:i/>
              <w:color w:val="541200"/>
            </w:rPr>
            <w:t>Fax</w:t>
          </w:r>
        </w:p>
        <w:p w:rsidR="002A0E97" w:rsidRDefault="002A0E97">
          <w:pPr>
            <w:spacing w:after="0" w:line="240" w:lineRule="auto"/>
            <w:ind w:left="0" w:hanging="2"/>
            <w:rPr>
              <w:rFonts w:ascii="Garamond" w:eastAsia="Garamond" w:hAnsi="Garamond" w:cs="Garamond"/>
              <w:color w:val="541200"/>
            </w:rPr>
          </w:pPr>
        </w:p>
        <w:p w:rsidR="002A0E97" w:rsidRDefault="00E628C2">
          <w:pPr>
            <w:spacing w:after="0" w:line="240" w:lineRule="auto"/>
            <w:ind w:left="0" w:hanging="2"/>
            <w:rPr>
              <w:rFonts w:ascii="Garamond" w:eastAsia="Garamond" w:hAnsi="Garamond" w:cs="Garamond"/>
              <w:color w:val="541200"/>
            </w:rPr>
          </w:pPr>
          <w:r>
            <w:rPr>
              <w:rFonts w:ascii="Garamond" w:eastAsia="Garamond" w:hAnsi="Garamond" w:cs="Garamond"/>
              <w:i/>
              <w:color w:val="541200"/>
            </w:rPr>
            <w:tab/>
          </w:r>
        </w:p>
        <w:p w:rsidR="002A0E97" w:rsidRDefault="00E628C2">
          <w:pPr>
            <w:pBdr>
              <w:top w:val="nil"/>
              <w:left w:val="nil"/>
              <w:bottom w:val="nil"/>
              <w:right w:val="nil"/>
              <w:between w:val="nil"/>
            </w:pBdr>
            <w:spacing w:after="0" w:line="240" w:lineRule="auto"/>
            <w:ind w:left="0" w:hanging="2"/>
            <w:rPr>
              <w:color w:val="000000"/>
            </w:rPr>
          </w:pPr>
          <w:r>
            <w:rPr>
              <w:rFonts w:ascii="Garamond" w:eastAsia="Garamond" w:hAnsi="Garamond" w:cs="Garamond"/>
              <w:color w:val="541200"/>
            </w:rPr>
            <w:t>www.AnimalEyeGroup.com</w:t>
          </w:r>
        </w:p>
      </w:tc>
      <w:tc>
        <w:tcPr>
          <w:tcW w:w="3088" w:type="dxa"/>
          <w:tcBorders>
            <w:top w:val="nil"/>
            <w:left w:val="nil"/>
            <w:bottom w:val="single" w:sz="12" w:space="0" w:color="000000"/>
            <w:right w:val="nil"/>
          </w:tcBorders>
          <w:vAlign w:val="center"/>
        </w:tcPr>
        <w:p w:rsidR="002A0E97" w:rsidRDefault="00E628C2">
          <w:pPr>
            <w:pBdr>
              <w:top w:val="nil"/>
              <w:left w:val="nil"/>
              <w:bottom w:val="nil"/>
              <w:right w:val="nil"/>
              <w:between w:val="nil"/>
            </w:pBdr>
            <w:spacing w:after="0" w:line="240" w:lineRule="auto"/>
            <w:ind w:left="0" w:hanging="2"/>
            <w:jc w:val="center"/>
            <w:rPr>
              <w:color w:val="000000"/>
            </w:rPr>
          </w:pPr>
          <w:r>
            <w:rPr>
              <w:noProof/>
              <w:color w:val="000000"/>
              <w:lang w:val="en-US"/>
            </w:rPr>
            <w:drawing>
              <wp:inline distT="0" distB="0" distL="114300" distR="114300">
                <wp:extent cx="1217930" cy="1625600"/>
                <wp:effectExtent l="0" t="0" r="0" b="0"/>
                <wp:docPr id="1027"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1217930" cy="1625600"/>
                        </a:xfrm>
                        <a:prstGeom prst="rect">
                          <a:avLst/>
                        </a:prstGeom>
                        <a:ln/>
                      </pic:spPr>
                    </pic:pic>
                  </a:graphicData>
                </a:graphic>
              </wp:inline>
            </w:drawing>
          </w:r>
        </w:p>
      </w:tc>
      <w:tc>
        <w:tcPr>
          <w:tcW w:w="2999" w:type="dxa"/>
          <w:tcBorders>
            <w:top w:val="nil"/>
            <w:left w:val="nil"/>
            <w:bottom w:val="single" w:sz="12" w:space="0" w:color="000000"/>
            <w:right w:val="nil"/>
          </w:tcBorders>
          <w:vAlign w:val="center"/>
        </w:tcPr>
        <w:p w:rsidR="002A0E97" w:rsidRDefault="00E628C2">
          <w:pPr>
            <w:spacing w:after="0" w:line="240" w:lineRule="auto"/>
            <w:ind w:left="0" w:hanging="2"/>
            <w:jc w:val="right"/>
            <w:rPr>
              <w:rFonts w:ascii="Garamond" w:eastAsia="Garamond" w:hAnsi="Garamond" w:cs="Garamond"/>
              <w:color w:val="541200"/>
            </w:rPr>
          </w:pPr>
          <w:r>
            <w:rPr>
              <w:rFonts w:ascii="Garamond" w:eastAsia="Garamond" w:hAnsi="Garamond" w:cs="Garamond"/>
              <w:color w:val="541200"/>
            </w:rPr>
            <w:t xml:space="preserve">Daniel R. </w:t>
          </w:r>
          <w:proofErr w:type="spellStart"/>
          <w:r>
            <w:rPr>
              <w:rFonts w:ascii="Garamond" w:eastAsia="Garamond" w:hAnsi="Garamond" w:cs="Garamond"/>
              <w:color w:val="541200"/>
            </w:rPr>
            <w:t>Priehs</w:t>
          </w:r>
          <w:proofErr w:type="spellEnd"/>
          <w:r>
            <w:rPr>
              <w:rFonts w:ascii="Garamond" w:eastAsia="Garamond" w:hAnsi="Garamond" w:cs="Garamond"/>
              <w:color w:val="541200"/>
            </w:rPr>
            <w:t>, D.V.M.</w:t>
          </w:r>
        </w:p>
        <w:p w:rsidR="002A0E97" w:rsidRDefault="00E628C2" w:rsidP="00AC53E1">
          <w:pPr>
            <w:spacing w:after="0" w:line="240" w:lineRule="auto"/>
            <w:ind w:left="0" w:hanging="2"/>
            <w:jc w:val="right"/>
            <w:rPr>
              <w:rFonts w:ascii="Garamond" w:eastAsia="Garamond" w:hAnsi="Garamond" w:cs="Garamond"/>
              <w:color w:val="541200"/>
            </w:rPr>
          </w:pPr>
          <w:r>
            <w:rPr>
              <w:rFonts w:ascii="Garamond" w:eastAsia="Garamond" w:hAnsi="Garamond" w:cs="Garamond"/>
              <w:color w:val="541200"/>
            </w:rPr>
            <w:t>Diplomate, A.C.V.O.</w:t>
          </w:r>
          <w:bookmarkStart w:id="0" w:name="_GoBack"/>
          <w:bookmarkEnd w:id="0"/>
        </w:p>
        <w:p w:rsidR="002A0E97" w:rsidRDefault="002A0E97">
          <w:pPr>
            <w:spacing w:after="0" w:line="240" w:lineRule="auto"/>
            <w:ind w:left="0" w:hanging="2"/>
            <w:jc w:val="right"/>
            <w:rPr>
              <w:rFonts w:ascii="Garamond" w:eastAsia="Garamond" w:hAnsi="Garamond" w:cs="Garamond"/>
              <w:color w:val="541200"/>
            </w:rPr>
          </w:pPr>
        </w:p>
        <w:p w:rsidR="002A0E97" w:rsidRDefault="00E628C2">
          <w:pPr>
            <w:spacing w:after="0" w:line="240" w:lineRule="auto"/>
            <w:ind w:left="0" w:hanging="2"/>
            <w:jc w:val="right"/>
            <w:rPr>
              <w:rFonts w:ascii="Garamond" w:eastAsia="Garamond" w:hAnsi="Garamond" w:cs="Garamond"/>
              <w:color w:val="541200"/>
            </w:rPr>
          </w:pPr>
          <w:r>
            <w:rPr>
              <w:rFonts w:ascii="Garamond" w:eastAsia="Garamond" w:hAnsi="Garamond" w:cs="Garamond"/>
              <w:color w:val="541200"/>
            </w:rPr>
            <w:t>Heidi M. Denis, D.V.M.</w:t>
          </w:r>
        </w:p>
        <w:p w:rsidR="002A0E97" w:rsidRDefault="00E628C2">
          <w:pPr>
            <w:spacing w:after="0" w:line="240" w:lineRule="auto"/>
            <w:ind w:left="0" w:hanging="2"/>
            <w:jc w:val="right"/>
            <w:rPr>
              <w:rFonts w:ascii="Garamond" w:eastAsia="Garamond" w:hAnsi="Garamond" w:cs="Garamond"/>
              <w:color w:val="541200"/>
            </w:rPr>
          </w:pPr>
          <w:r>
            <w:rPr>
              <w:rFonts w:ascii="Garamond" w:eastAsia="Garamond" w:hAnsi="Garamond" w:cs="Garamond"/>
              <w:color w:val="541200"/>
            </w:rPr>
            <w:t>Diplomate, A.C.V.O.</w:t>
          </w:r>
        </w:p>
        <w:p w:rsidR="00AC53E1" w:rsidRDefault="00AC53E1">
          <w:pPr>
            <w:spacing w:after="0" w:line="240" w:lineRule="auto"/>
            <w:ind w:left="0" w:hanging="2"/>
            <w:jc w:val="right"/>
            <w:rPr>
              <w:rFonts w:ascii="Garamond" w:eastAsia="Garamond" w:hAnsi="Garamond" w:cs="Garamond"/>
              <w:color w:val="541200"/>
            </w:rPr>
          </w:pPr>
        </w:p>
        <w:p w:rsidR="00AC53E1" w:rsidRDefault="00AC53E1" w:rsidP="00AC53E1">
          <w:pPr>
            <w:spacing w:after="0" w:line="240" w:lineRule="auto"/>
            <w:ind w:leftChars="0" w:left="2" w:hanging="2"/>
            <w:jc w:val="right"/>
            <w:rPr>
              <w:rFonts w:ascii="Garamond" w:eastAsia="Garamond" w:hAnsi="Garamond" w:cs="Garamond"/>
              <w:color w:val="541200"/>
            </w:rPr>
          </w:pPr>
          <w:proofErr w:type="spellStart"/>
          <w:r>
            <w:rPr>
              <w:rFonts w:ascii="Garamond" w:eastAsia="Garamond" w:hAnsi="Garamond" w:cs="Garamond"/>
              <w:color w:val="541200"/>
            </w:rPr>
            <w:t>Tatiane</w:t>
          </w:r>
          <w:proofErr w:type="spellEnd"/>
          <w:r>
            <w:rPr>
              <w:rFonts w:ascii="Garamond" w:eastAsia="Garamond" w:hAnsi="Garamond" w:cs="Garamond"/>
              <w:color w:val="541200"/>
            </w:rPr>
            <w:t xml:space="preserve"> </w:t>
          </w:r>
          <w:proofErr w:type="spellStart"/>
          <w:r>
            <w:rPr>
              <w:rFonts w:ascii="Garamond" w:eastAsia="Garamond" w:hAnsi="Garamond" w:cs="Garamond"/>
              <w:color w:val="541200"/>
            </w:rPr>
            <w:t>Villar</w:t>
          </w:r>
          <w:proofErr w:type="spellEnd"/>
          <w:r>
            <w:rPr>
              <w:rFonts w:ascii="Garamond" w:eastAsia="Garamond" w:hAnsi="Garamond" w:cs="Garamond"/>
              <w:color w:val="541200"/>
            </w:rPr>
            <w:t>, D.V.M.</w:t>
          </w:r>
        </w:p>
        <w:p w:rsidR="00AC53E1" w:rsidRDefault="00AC53E1" w:rsidP="00AC53E1">
          <w:pPr>
            <w:spacing w:after="0" w:line="240" w:lineRule="auto"/>
            <w:ind w:left="0" w:hanging="2"/>
            <w:jc w:val="right"/>
            <w:rPr>
              <w:rFonts w:ascii="Garamond" w:eastAsia="Garamond" w:hAnsi="Garamond" w:cs="Garamond"/>
              <w:color w:val="541200"/>
            </w:rPr>
          </w:pPr>
          <w:r>
            <w:rPr>
              <w:rFonts w:ascii="Garamond" w:eastAsia="Garamond" w:hAnsi="Garamond" w:cs="Garamond"/>
              <w:color w:val="541200"/>
            </w:rPr>
            <w:t>Diplomate, A.C.V.O.</w:t>
          </w:r>
        </w:p>
      </w:tc>
    </w:tr>
  </w:tbl>
  <w:p w:rsidR="002A0E97" w:rsidRDefault="002A0E97">
    <w:pPr>
      <w:pBdr>
        <w:top w:val="nil"/>
        <w:left w:val="nil"/>
        <w:bottom w:val="nil"/>
        <w:right w:val="nil"/>
        <w:between w:val="nil"/>
      </w:pBdr>
      <w:spacing w:after="0" w:line="240" w:lineRule="auto"/>
      <w:ind w:left="0" w:hanging="2"/>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0E97" w:rsidRDefault="002A0E97">
    <w:pPr>
      <w:pBdr>
        <w:top w:val="nil"/>
        <w:left w:val="nil"/>
        <w:bottom w:val="nil"/>
        <w:right w:val="nil"/>
        <w:between w:val="nil"/>
      </w:pBdr>
      <w:spacing w:after="0" w:line="240" w:lineRule="auto"/>
      <w:ind w:left="0" w:hanging="2"/>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D067FEB"/>
    <w:multiLevelType w:val="multilevel"/>
    <w:tmpl w:val="83F004AC"/>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0E97"/>
    <w:rsid w:val="002A0E97"/>
    <w:rsid w:val="00AC53E1"/>
    <w:rsid w:val="00E628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CFCA33D"/>
  <w15:docId w15:val="{410D2603-B08F-4AE4-921A-4DB03943DD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GB" w:eastAsia="en-US" w:bidi="ar-SA"/>
      </w:rPr>
    </w:rPrDefault>
    <w:pPrDefault>
      <w:pPr>
        <w:spacing w:after="200" w:line="276" w:lineRule="auto"/>
        <w:ind w:hanging="1"/>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uppressAutoHyphens/>
      <w:ind w:leftChars="-1" w:left="-1" w:hangingChars="1"/>
      <w:textDirection w:val="btLr"/>
      <w:textAlignment w:val="top"/>
      <w:outlineLvl w:val="0"/>
    </w:pPr>
    <w:rPr>
      <w:position w:val="-1"/>
    </w:rPr>
  </w:style>
  <w:style w:type="paragraph" w:styleId="Heading1">
    <w:name w:val="heading 1"/>
    <w:basedOn w:val="Normal"/>
    <w:next w:val="Normal"/>
    <w:pPr>
      <w:keepNext/>
      <w:keepLines/>
      <w:spacing w:before="480" w:after="12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Header">
    <w:name w:val="header"/>
    <w:basedOn w:val="Normal"/>
    <w:qFormat/>
    <w:pPr>
      <w:spacing w:after="0" w:line="240" w:lineRule="auto"/>
    </w:pPr>
  </w:style>
  <w:style w:type="character" w:customStyle="1" w:styleId="HeaderChar">
    <w:name w:val="Header Char"/>
    <w:basedOn w:val="DefaultParagraphFont"/>
    <w:rPr>
      <w:w w:val="100"/>
      <w:position w:val="-1"/>
      <w:effect w:val="none"/>
      <w:vertAlign w:val="baseline"/>
      <w:cs w:val="0"/>
      <w:em w:val="none"/>
    </w:rPr>
  </w:style>
  <w:style w:type="paragraph" w:styleId="Footer">
    <w:name w:val="footer"/>
    <w:basedOn w:val="Normal"/>
    <w:qFormat/>
    <w:pPr>
      <w:spacing w:after="0" w:line="240" w:lineRule="auto"/>
    </w:pPr>
  </w:style>
  <w:style w:type="character" w:customStyle="1" w:styleId="FooterChar">
    <w:name w:val="Footer Char"/>
    <w:basedOn w:val="DefaultParagraphFont"/>
    <w:rPr>
      <w:w w:val="100"/>
      <w:position w:val="-1"/>
      <w:effect w:val="none"/>
      <w:vertAlign w:val="baseline"/>
      <w:cs w:val="0"/>
      <w:em w:val="none"/>
    </w:rPr>
  </w:style>
  <w:style w:type="paragraph" w:styleId="BalloonText">
    <w:name w:val="Balloon Text"/>
    <w:basedOn w:val="Normal"/>
    <w:qFormat/>
    <w:pPr>
      <w:spacing w:after="0" w:line="240" w:lineRule="auto"/>
    </w:pPr>
    <w:rPr>
      <w:rFonts w:ascii="Tahoma" w:hAnsi="Tahoma" w:cs="Tahoma"/>
      <w:sz w:val="16"/>
      <w:szCs w:val="16"/>
    </w:rPr>
  </w:style>
  <w:style w:type="character" w:customStyle="1" w:styleId="BalloonTextChar">
    <w:name w:val="Balloon Text Char"/>
    <w:rPr>
      <w:rFonts w:ascii="Tahoma" w:hAnsi="Tahoma" w:cs="Tahoma"/>
      <w:w w:val="100"/>
      <w:position w:val="-1"/>
      <w:sz w:val="16"/>
      <w:szCs w:val="16"/>
      <w:effect w:val="none"/>
      <w:vertAlign w:val="baseline"/>
      <w:cs w:val="0"/>
      <w:em w:val="none"/>
    </w:rPr>
  </w:style>
  <w:style w:type="character" w:styleId="PageNumber">
    <w:name w:val="page number"/>
    <w:basedOn w:val="DefaultParagraphFont"/>
    <w:qFormat/>
    <w:rPr>
      <w:w w:val="100"/>
      <w:position w:val="-1"/>
      <w:effect w:val="none"/>
      <w:vertAlign w:val="baseline"/>
      <w:cs w:val="0"/>
      <w:em w:val="none"/>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547898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TGl6ciyWP+rr5ucxFpE+NnoE3Dw==">AMUW2mXjK8xyu65A1z/SKdupzmkGOlyC4EeqiCc6ucIRRpqjr8QMO/CLmcsvwhwS7NqEsTe1eDpMmjuaOgtweZ7mhuYUbRNqQmVJvHL6A35dOgqoBi/NmtM=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395</Words>
  <Characters>2255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Danp</dc:creator>
  <cp:lastModifiedBy>Waterford User3</cp:lastModifiedBy>
  <cp:revision>2</cp:revision>
  <dcterms:created xsi:type="dcterms:W3CDTF">2015-03-12T13:34:00Z</dcterms:created>
  <dcterms:modified xsi:type="dcterms:W3CDTF">2023-01-23T13:21:00Z</dcterms:modified>
</cp:coreProperties>
</file>